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87BC" w14:textId="77777777" w:rsidR="00692080" w:rsidRDefault="00692080" w:rsidP="004A38B3">
      <w:pPr>
        <w:rPr>
          <w:rFonts w:asciiTheme="majorHAnsi" w:hAnsiTheme="majorHAnsi" w:cstheme="majorHAnsi"/>
          <w:sz w:val="22"/>
          <w:szCs w:val="22"/>
        </w:rPr>
      </w:pPr>
    </w:p>
    <w:p w14:paraId="6B4BFB3F" w14:textId="1FB163CE" w:rsidR="007618AC" w:rsidRPr="00DD1E90" w:rsidRDefault="00DB0016" w:rsidP="004A38B3">
      <w:pPr>
        <w:rPr>
          <w:rFonts w:ascii="Carlito" w:hAnsi="Carlito" w:cstheme="majorHAnsi"/>
          <w:sz w:val="22"/>
          <w:szCs w:val="22"/>
        </w:rPr>
      </w:pPr>
      <w:r w:rsidRPr="005A75CC">
        <w:rPr>
          <w:rFonts w:asciiTheme="majorHAnsi" w:hAnsiTheme="majorHAnsi" w:cstheme="majorHAnsi"/>
          <w:noProof/>
          <w:sz w:val="22"/>
          <w:szCs w:val="22"/>
          <w:lang w:val="de-CH"/>
        </w:rPr>
        <mc:AlternateContent>
          <mc:Choice Requires="wps">
            <w:drawing>
              <wp:anchor distT="0" distB="0" distL="114300" distR="114300" simplePos="0" relativeHeight="251659264" behindDoc="0" locked="0" layoutInCell="1" allowOverlap="1" wp14:anchorId="2187DA4F" wp14:editId="1C4BCCB4">
                <wp:simplePos x="0" y="0"/>
                <wp:positionH relativeFrom="margin">
                  <wp:posOffset>3702685</wp:posOffset>
                </wp:positionH>
                <wp:positionV relativeFrom="paragraph">
                  <wp:posOffset>18415</wp:posOffset>
                </wp:positionV>
                <wp:extent cx="2895600" cy="219075"/>
                <wp:effectExtent l="0" t="0" r="0"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219075"/>
                        </a:xfrm>
                        <a:prstGeom prst="rect">
                          <a:avLst/>
                        </a:prstGeom>
                        <a:solidFill>
                          <a:sysClr val="window" lastClr="FFFFFF"/>
                        </a:solidFill>
                        <a:ln w="6350">
                          <a:noFill/>
                        </a:ln>
                        <a:effectLst/>
                      </wps:spPr>
                      <wps:txbx>
                        <w:txbxContent>
                          <w:p w14:paraId="307CBD90" w14:textId="70AA3925" w:rsidR="005A75CC" w:rsidRDefault="005A75CC" w:rsidP="005A75CC">
                            <w:pPr>
                              <w:rPr>
                                <w:rFonts w:ascii="Helvetica" w:hAnsi="Helvetica" w:cs="Arial"/>
                                <w:sz w:val="24"/>
                                <w:szCs w:val="24"/>
                              </w:rPr>
                            </w:pPr>
                          </w:p>
                          <w:p w14:paraId="115CB41D" w14:textId="3EAC693D" w:rsidR="005A75CC" w:rsidRPr="00DD1E90" w:rsidRDefault="005A75CC" w:rsidP="005A75CC">
                            <w:pPr>
                              <w:rPr>
                                <w:rFonts w:ascii="Carlito" w:hAnsi="Carlito" w:cstheme="majorHAnsi"/>
                                <w:sz w:val="21"/>
                                <w:szCs w:val="21"/>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7DA4F" id="_x0000_t202" coordsize="21600,21600" o:spt="202" path="m,l,21600r21600,l21600,xe">
                <v:stroke joinstyle="miter"/>
                <v:path gradientshapeok="t" o:connecttype="rect"/>
              </v:shapetype>
              <v:shape id="Textfeld 1" o:spid="_x0000_s1026" type="#_x0000_t202" style="position:absolute;margin-left:291.55pt;margin-top:1.45pt;width:228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" fillcolor="window" stroked="f" strokeweight=".5pt">
                <v:textbox>
                  <w:txbxContent>
                    <w:p w14:paraId="307CBD90" w14:textId="70AA3925" w:rsidR="005A75CC" w:rsidRDefault="005A75CC" w:rsidP="005A75CC">
                      <w:pPr>
                        <w:rPr>
                          <w:rFonts w:ascii="Helvetica" w:hAnsi="Helvetica" w:cs="Arial"/>
                          <w:sz w:val="24"/>
                          <w:szCs w:val="24"/>
                        </w:rPr>
                      </w:pPr>
                    </w:p>
                    <w:p w14:paraId="115CB41D" w14:textId="3EAC693D" w:rsidR="005A75CC" w:rsidRPr="00DD1E90" w:rsidRDefault="005A75CC" w:rsidP="005A75CC">
                      <w:pPr>
                        <w:rPr>
                          <w:rFonts w:ascii="Carlito" w:hAnsi="Carlito" w:cstheme="majorHAnsi"/>
                          <w:sz w:val="21"/>
                          <w:szCs w:val="21"/>
                          <w:lang w:val="fr-CH"/>
                        </w:rPr>
                      </w:pPr>
                    </w:p>
                  </w:txbxContent>
                </v:textbox>
                <w10:wrap anchorx="margin"/>
              </v:shape>
            </w:pict>
          </mc:Fallback>
        </mc:AlternateContent>
      </w:r>
    </w:p>
    <w:p w14:paraId="3F7504D8" w14:textId="77777777" w:rsidR="0003221C" w:rsidRDefault="0003221C" w:rsidP="0003221C">
      <w:pPr>
        <w:rPr>
          <w:rFonts w:ascii="Carlito" w:hAnsi="Carlito" w:cstheme="majorHAnsi"/>
          <w:b/>
          <w:sz w:val="24"/>
          <w:szCs w:val="24"/>
          <w:u w:val="single"/>
        </w:rPr>
      </w:pPr>
    </w:p>
    <w:p w14:paraId="62AA4FE1" w14:textId="77777777" w:rsidR="0003221C" w:rsidRDefault="0003221C" w:rsidP="0003221C">
      <w:pPr>
        <w:rPr>
          <w:rFonts w:ascii="Carlito" w:hAnsi="Carlito" w:cstheme="majorHAnsi"/>
          <w:b/>
          <w:sz w:val="24"/>
          <w:szCs w:val="24"/>
          <w:u w:val="single"/>
        </w:rPr>
      </w:pPr>
    </w:p>
    <w:p w14:paraId="0CC66F1A" w14:textId="77777777" w:rsidR="0003221C" w:rsidRDefault="0003221C" w:rsidP="0003221C">
      <w:pPr>
        <w:rPr>
          <w:rFonts w:ascii="Carlito" w:hAnsi="Carlito" w:cstheme="majorHAnsi"/>
          <w:b/>
          <w:sz w:val="24"/>
          <w:szCs w:val="24"/>
          <w:u w:val="single"/>
        </w:rPr>
      </w:pPr>
    </w:p>
    <w:p w14:paraId="3B759DBA" w14:textId="3AC759A2" w:rsidR="0003221C" w:rsidRPr="0003221C" w:rsidRDefault="0003221C" w:rsidP="0003221C">
      <w:pPr>
        <w:rPr>
          <w:rFonts w:ascii="Carlito" w:hAnsi="Carlito" w:cstheme="majorHAnsi"/>
          <w:b/>
          <w:sz w:val="24"/>
          <w:szCs w:val="24"/>
          <w:u w:val="single"/>
        </w:rPr>
      </w:pPr>
      <w:r w:rsidRPr="0003221C">
        <w:rPr>
          <w:rFonts w:ascii="Carlito" w:hAnsi="Carlito" w:cstheme="majorHAnsi"/>
          <w:b/>
          <w:sz w:val="24"/>
          <w:szCs w:val="24"/>
          <w:u w:val="single"/>
        </w:rPr>
        <w:t>Management Antikoagulation bei interventioneller Endoskopie</w:t>
      </w:r>
      <w:r w:rsidRPr="0003221C">
        <w:rPr>
          <w:rFonts w:ascii="Carlito" w:hAnsi="Carlito" w:cstheme="majorHAnsi"/>
          <w:b/>
          <w:sz w:val="24"/>
          <w:szCs w:val="24"/>
          <w:u w:val="single"/>
        </w:rPr>
        <w:br/>
      </w:r>
    </w:p>
    <w:p w14:paraId="2A30AE2E" w14:textId="77777777" w:rsidR="0003221C" w:rsidRPr="0003221C" w:rsidRDefault="0003221C" w:rsidP="0003221C">
      <w:pPr>
        <w:rPr>
          <w:rFonts w:ascii="Carlito" w:hAnsi="Carlito" w:cstheme="majorHAnsi"/>
          <w:b/>
          <w:sz w:val="24"/>
          <w:szCs w:val="24"/>
          <w:u w:val="single"/>
        </w:rPr>
      </w:pPr>
    </w:p>
    <w:p w14:paraId="2896EABC" w14:textId="77777777" w:rsidR="0003221C" w:rsidRPr="0003221C" w:rsidRDefault="0003221C" w:rsidP="0003221C">
      <w:pPr>
        <w:rPr>
          <w:rFonts w:ascii="Carlito" w:hAnsi="Carlito" w:cstheme="majorHAnsi"/>
          <w:b/>
          <w:sz w:val="24"/>
          <w:szCs w:val="24"/>
          <w:u w:val="single"/>
        </w:rPr>
      </w:pPr>
      <w:r w:rsidRPr="0003221C">
        <w:rPr>
          <w:rFonts w:ascii="Carlito" w:hAnsi="Carlito" w:cstheme="majorHAnsi"/>
          <w:b/>
          <w:sz w:val="24"/>
          <w:szCs w:val="24"/>
          <w:u w:val="single"/>
        </w:rPr>
        <w:br/>
        <w:t xml:space="preserve">Vorgehen bei geplanter </w:t>
      </w:r>
      <w:proofErr w:type="spellStart"/>
      <w:r w:rsidRPr="0003221C">
        <w:rPr>
          <w:rFonts w:ascii="Carlito" w:hAnsi="Carlito" w:cstheme="majorHAnsi"/>
          <w:b/>
          <w:sz w:val="24"/>
          <w:szCs w:val="24"/>
          <w:u w:val="single"/>
        </w:rPr>
        <w:t>Kolonoskopie</w:t>
      </w:r>
      <w:proofErr w:type="spellEnd"/>
      <w:r w:rsidRPr="0003221C">
        <w:rPr>
          <w:rFonts w:ascii="Carlito" w:hAnsi="Carlito" w:cstheme="majorHAnsi"/>
          <w:b/>
          <w:sz w:val="24"/>
          <w:szCs w:val="24"/>
          <w:u w:val="single"/>
        </w:rPr>
        <w:t xml:space="preserve">/Gastroskopie mit Polypektomie, Dilatation oder ähnlichem Eingriff </w:t>
      </w:r>
    </w:p>
    <w:p w14:paraId="40B807D6" w14:textId="77777777" w:rsidR="0003221C" w:rsidRPr="0003221C" w:rsidRDefault="0003221C" w:rsidP="0003221C">
      <w:pPr>
        <w:rPr>
          <w:rFonts w:ascii="Carlito" w:hAnsi="Carlito" w:cstheme="majorHAnsi"/>
          <w:b/>
          <w:sz w:val="24"/>
          <w:szCs w:val="24"/>
          <w:u w:val="single"/>
        </w:rPr>
      </w:pPr>
    </w:p>
    <w:p w14:paraId="6F1178E7" w14:textId="33A0E45B" w:rsidR="0003221C" w:rsidRPr="0003221C" w:rsidRDefault="0003221C" w:rsidP="0003221C">
      <w:pPr>
        <w:rPr>
          <w:rFonts w:ascii="Carlito" w:hAnsi="Carlito" w:cstheme="majorHAnsi"/>
          <w:sz w:val="24"/>
          <w:szCs w:val="24"/>
        </w:rPr>
      </w:pPr>
      <w:r w:rsidRPr="0003221C">
        <w:rPr>
          <w:rFonts w:ascii="Carlito" w:hAnsi="Carlito" w:cstheme="majorHAnsi"/>
          <w:b/>
          <w:sz w:val="24"/>
          <w:szCs w:val="24"/>
        </w:rPr>
        <w:t xml:space="preserve">Orale Antikoagulation (Marcoumar, </w:t>
      </w:r>
      <w:proofErr w:type="spellStart"/>
      <w:r w:rsidRPr="0003221C">
        <w:rPr>
          <w:rFonts w:ascii="Carlito" w:hAnsi="Carlito" w:cstheme="majorHAnsi"/>
          <w:b/>
          <w:sz w:val="24"/>
          <w:szCs w:val="24"/>
        </w:rPr>
        <w:t>Sintrom</w:t>
      </w:r>
      <w:proofErr w:type="spellEnd"/>
      <w:r w:rsidRPr="0003221C">
        <w:rPr>
          <w:rFonts w:ascii="Carlito" w:hAnsi="Carlito" w:cstheme="majorHAnsi"/>
          <w:b/>
          <w:sz w:val="24"/>
          <w:szCs w:val="24"/>
        </w:rPr>
        <w:t>)</w:t>
      </w:r>
      <w:r w:rsidRPr="0003221C">
        <w:rPr>
          <w:rFonts w:ascii="Carlito" w:hAnsi="Carlito" w:cstheme="majorHAnsi"/>
          <w:b/>
          <w:sz w:val="24"/>
          <w:szCs w:val="24"/>
        </w:rPr>
        <w:br/>
      </w:r>
      <w:r w:rsidRPr="0003221C">
        <w:rPr>
          <w:rFonts w:ascii="Carlito" w:hAnsi="Carlito" w:cstheme="majorHAnsi"/>
          <w:sz w:val="24"/>
          <w:szCs w:val="24"/>
        </w:rPr>
        <w:t xml:space="preserve">Bei Patienten mit nachgewiesenen Polypen im Darm oder Magen, welche abgetragen werden sollen und unter oraler Antikoagulation stehen, empfehlen wir ein </w:t>
      </w:r>
      <w:r w:rsidRPr="0003221C">
        <w:rPr>
          <w:rFonts w:ascii="Carlito" w:hAnsi="Carlito" w:cstheme="majorHAnsi"/>
          <w:b/>
          <w:sz w:val="24"/>
          <w:szCs w:val="24"/>
        </w:rPr>
        <w:t xml:space="preserve">Absetzen der OAK 10 Tage vor geplantem Eingriff. </w:t>
      </w:r>
      <w:r w:rsidRPr="0003221C">
        <w:rPr>
          <w:rFonts w:ascii="Carlito" w:hAnsi="Carlito" w:cstheme="majorHAnsi"/>
          <w:sz w:val="24"/>
          <w:szCs w:val="24"/>
        </w:rPr>
        <w:t xml:space="preserve">Die orale Antikoagulation kann in der Zeit bis zum Eingriff überbrückt werden mit niedermolekularem Heparin (Fertigspritzen) oder Xarelto. Wir bitten um die Bestimmung eines INR-Wertes 2 Tage vor dem geplanten Eingriff (beim Hausarzt oder nach Vereinbarung auch in unserer Praxis). Der </w:t>
      </w:r>
      <w:r w:rsidRPr="0003221C">
        <w:rPr>
          <w:rFonts w:ascii="Carlito" w:hAnsi="Carlito" w:cstheme="majorHAnsi"/>
          <w:b/>
          <w:sz w:val="24"/>
          <w:szCs w:val="24"/>
        </w:rPr>
        <w:t xml:space="preserve">Ziel-INR sollte bei 1,1 – 1,2 </w:t>
      </w:r>
      <w:r w:rsidRPr="0003221C">
        <w:rPr>
          <w:rFonts w:ascii="Carlito" w:hAnsi="Carlito" w:cstheme="majorHAnsi"/>
          <w:sz w:val="24"/>
          <w:szCs w:val="24"/>
        </w:rPr>
        <w:t>liegen. Wir bitten um die Zusendung des INR-Wertes an folgende Mail</w:t>
      </w:r>
      <w:r>
        <w:rPr>
          <w:rFonts w:ascii="Carlito" w:hAnsi="Carlito" w:cstheme="majorHAnsi"/>
          <w:sz w:val="24"/>
          <w:szCs w:val="24"/>
        </w:rPr>
        <w:t>:</w:t>
      </w:r>
      <w:r w:rsidRPr="0003221C">
        <w:rPr>
          <w:rFonts w:ascii="Carlito" w:hAnsi="Carlito" w:cstheme="majorHAnsi"/>
          <w:sz w:val="24"/>
          <w:szCs w:val="24"/>
        </w:rPr>
        <w:t xml:space="preserve"> </w:t>
      </w:r>
      <w:hyperlink r:id="rId9" w:history="1">
        <w:r w:rsidRPr="0003221C">
          <w:rPr>
            <w:rStyle w:val="Hyperlink"/>
            <w:rFonts w:ascii="Carlito" w:hAnsi="Carlito" w:cstheme="majorHAnsi"/>
            <w:color w:val="auto"/>
            <w:sz w:val="24"/>
            <w:szCs w:val="24"/>
            <w:u w:val="none"/>
          </w:rPr>
          <w:t>gastrozentrum-obach@hin.ch</w:t>
        </w:r>
      </w:hyperlink>
      <w:r w:rsidRPr="0003221C">
        <w:rPr>
          <w:rFonts w:ascii="Carlito" w:hAnsi="Carlito" w:cstheme="majorHAnsi"/>
          <w:sz w:val="24"/>
          <w:szCs w:val="24"/>
        </w:rPr>
        <w:t xml:space="preserve"> (Termin in Solothurn) oder </w:t>
      </w:r>
      <w:hyperlink r:id="rId10" w:history="1">
        <w:r w:rsidRPr="0003221C">
          <w:rPr>
            <w:rStyle w:val="Hyperlink"/>
            <w:rFonts w:ascii="Carlito" w:hAnsi="Carlito" w:cstheme="majorHAnsi"/>
            <w:color w:val="auto"/>
            <w:sz w:val="24"/>
            <w:szCs w:val="24"/>
            <w:u w:val="none"/>
          </w:rPr>
          <w:t>gzo-grenchen@hin.ch</w:t>
        </w:r>
      </w:hyperlink>
      <w:r w:rsidRPr="0003221C">
        <w:rPr>
          <w:rFonts w:ascii="Carlito" w:hAnsi="Carlito" w:cstheme="majorHAnsi"/>
          <w:sz w:val="24"/>
          <w:szCs w:val="24"/>
        </w:rPr>
        <w:t xml:space="preserve"> (Termin in Grenchen). </w:t>
      </w:r>
      <w:r w:rsidRPr="0003221C">
        <w:rPr>
          <w:rFonts w:ascii="Carlito" w:hAnsi="Carlito" w:cstheme="majorHAnsi"/>
          <w:b/>
          <w:sz w:val="24"/>
          <w:szCs w:val="24"/>
        </w:rPr>
        <w:br/>
      </w:r>
      <w:r w:rsidRPr="0003221C">
        <w:rPr>
          <w:rFonts w:ascii="Carlito" w:hAnsi="Carlito" w:cstheme="majorHAnsi"/>
          <w:b/>
          <w:sz w:val="24"/>
          <w:szCs w:val="24"/>
        </w:rPr>
        <w:br/>
        <w:t xml:space="preserve">Niedermolekulares Heparin </w:t>
      </w:r>
      <w:r w:rsidRPr="0003221C">
        <w:rPr>
          <w:rFonts w:ascii="Carlito" w:hAnsi="Carlito" w:cstheme="majorHAnsi"/>
          <w:b/>
          <w:sz w:val="24"/>
          <w:szCs w:val="24"/>
        </w:rPr>
        <w:br/>
      </w:r>
      <w:r w:rsidRPr="0003221C">
        <w:rPr>
          <w:rFonts w:ascii="Carlito" w:hAnsi="Carlito" w:cstheme="majorHAnsi"/>
          <w:sz w:val="24"/>
          <w:szCs w:val="24"/>
        </w:rPr>
        <w:t>Dieses</w:t>
      </w:r>
      <w:r w:rsidRPr="0003221C">
        <w:rPr>
          <w:rFonts w:ascii="Carlito" w:hAnsi="Carlito" w:cstheme="majorHAnsi"/>
          <w:b/>
          <w:sz w:val="24"/>
          <w:szCs w:val="24"/>
        </w:rPr>
        <w:t xml:space="preserve"> muss 24 Stunden vor dem geplanten Eingriff gestoppt werden.</w:t>
      </w:r>
      <w:r w:rsidRPr="0003221C">
        <w:rPr>
          <w:rFonts w:ascii="Carlito" w:hAnsi="Carlito" w:cstheme="majorHAnsi"/>
          <w:sz w:val="24"/>
          <w:szCs w:val="24"/>
        </w:rPr>
        <w:t xml:space="preserve"> </w:t>
      </w:r>
      <w:r w:rsidRPr="0003221C">
        <w:rPr>
          <w:rFonts w:ascii="Carlito" w:hAnsi="Carlito" w:cstheme="majorHAnsi"/>
          <w:sz w:val="24"/>
          <w:szCs w:val="24"/>
        </w:rPr>
        <w:br/>
        <w:t xml:space="preserve">Sollten das niedermolekulare Heparin oder das Xarelto weniger als 24 Stunden vor dem geplanten Eingriff appliziert worden sein, kann auch bei aufgehobenem Quick-Wert die Polypektomie oder ein anderer Eingriff nicht durchgeführt werden. </w:t>
      </w:r>
      <w:r w:rsidRPr="0003221C">
        <w:rPr>
          <w:rFonts w:ascii="Carlito" w:hAnsi="Carlito" w:cstheme="majorHAnsi"/>
          <w:sz w:val="24"/>
          <w:szCs w:val="24"/>
        </w:rPr>
        <w:br/>
      </w:r>
    </w:p>
    <w:p w14:paraId="0C581FCC" w14:textId="77777777" w:rsidR="0003221C" w:rsidRPr="0003221C" w:rsidRDefault="0003221C" w:rsidP="0003221C">
      <w:pPr>
        <w:pStyle w:val="KeinLeerraum"/>
        <w:rPr>
          <w:rFonts w:ascii="Carlito" w:hAnsi="Carlito" w:cstheme="majorHAnsi"/>
          <w:b/>
          <w:sz w:val="24"/>
          <w:szCs w:val="24"/>
          <w:lang w:val="en-GB"/>
        </w:rPr>
      </w:pPr>
      <w:r w:rsidRPr="0003221C">
        <w:rPr>
          <w:rFonts w:ascii="Carlito" w:hAnsi="Carlito" w:cstheme="majorHAnsi"/>
          <w:b/>
          <w:sz w:val="24"/>
          <w:szCs w:val="24"/>
          <w:lang w:val="en-GB"/>
        </w:rPr>
        <w:t xml:space="preserve">NOAK (Xarelto, </w:t>
      </w:r>
      <w:proofErr w:type="spellStart"/>
      <w:r w:rsidRPr="0003221C">
        <w:rPr>
          <w:rFonts w:ascii="Carlito" w:hAnsi="Carlito" w:cstheme="majorHAnsi"/>
          <w:b/>
          <w:sz w:val="24"/>
          <w:szCs w:val="24"/>
          <w:lang w:val="en-GB"/>
        </w:rPr>
        <w:t>Brilique</w:t>
      </w:r>
      <w:proofErr w:type="spellEnd"/>
      <w:r w:rsidRPr="0003221C">
        <w:rPr>
          <w:rFonts w:ascii="Carlito" w:hAnsi="Carlito" w:cstheme="majorHAnsi"/>
          <w:b/>
          <w:sz w:val="24"/>
          <w:szCs w:val="24"/>
          <w:lang w:val="en-GB"/>
        </w:rPr>
        <w:t xml:space="preserve"> </w:t>
      </w:r>
      <w:proofErr w:type="spellStart"/>
      <w:r w:rsidRPr="0003221C">
        <w:rPr>
          <w:rFonts w:ascii="Carlito" w:hAnsi="Carlito" w:cstheme="majorHAnsi"/>
          <w:b/>
          <w:sz w:val="24"/>
          <w:szCs w:val="24"/>
          <w:lang w:val="en-GB"/>
        </w:rPr>
        <w:t>oder</w:t>
      </w:r>
      <w:proofErr w:type="spellEnd"/>
      <w:r w:rsidRPr="0003221C">
        <w:rPr>
          <w:rFonts w:ascii="Carlito" w:hAnsi="Carlito" w:cstheme="majorHAnsi"/>
          <w:b/>
          <w:sz w:val="24"/>
          <w:szCs w:val="24"/>
          <w:lang w:val="en-GB"/>
        </w:rPr>
        <w:t xml:space="preserve"> </w:t>
      </w:r>
      <w:proofErr w:type="spellStart"/>
      <w:r w:rsidRPr="0003221C">
        <w:rPr>
          <w:rFonts w:ascii="Carlito" w:hAnsi="Carlito" w:cstheme="majorHAnsi"/>
          <w:b/>
          <w:sz w:val="24"/>
          <w:szCs w:val="24"/>
          <w:lang w:val="en-GB"/>
        </w:rPr>
        <w:t>Efient</w:t>
      </w:r>
      <w:proofErr w:type="spellEnd"/>
      <w:r w:rsidRPr="0003221C">
        <w:rPr>
          <w:rFonts w:ascii="Carlito" w:hAnsi="Carlito" w:cstheme="majorHAnsi"/>
          <w:b/>
          <w:sz w:val="24"/>
          <w:szCs w:val="24"/>
          <w:lang w:val="en-GB"/>
        </w:rPr>
        <w:t>)</w:t>
      </w:r>
    </w:p>
    <w:p w14:paraId="2BC87B8D" w14:textId="77777777" w:rsidR="0003221C" w:rsidRPr="0003221C" w:rsidRDefault="0003221C" w:rsidP="0003221C">
      <w:pPr>
        <w:pStyle w:val="KeinLeerraum"/>
        <w:rPr>
          <w:rFonts w:ascii="Carlito" w:hAnsi="Carlito" w:cstheme="majorHAnsi"/>
          <w:sz w:val="24"/>
          <w:szCs w:val="24"/>
        </w:rPr>
      </w:pPr>
      <w:r w:rsidRPr="0003221C">
        <w:rPr>
          <w:rFonts w:ascii="Carlito" w:hAnsi="Carlito" w:cstheme="majorHAnsi"/>
          <w:sz w:val="24"/>
          <w:szCs w:val="24"/>
        </w:rPr>
        <w:t>Diese</w:t>
      </w:r>
      <w:r w:rsidRPr="0003221C">
        <w:rPr>
          <w:rFonts w:ascii="Carlito" w:hAnsi="Carlito" w:cstheme="majorHAnsi"/>
          <w:b/>
          <w:sz w:val="24"/>
          <w:szCs w:val="24"/>
        </w:rPr>
        <w:t xml:space="preserve"> müssen 24 Stunden vor dem geplanten Eingriff gestoppt werden.</w:t>
      </w:r>
      <w:r w:rsidRPr="0003221C">
        <w:rPr>
          <w:rFonts w:ascii="Carlito" w:hAnsi="Carlito" w:cstheme="majorHAnsi"/>
          <w:sz w:val="24"/>
          <w:szCs w:val="24"/>
        </w:rPr>
        <w:t xml:space="preserve"> </w:t>
      </w:r>
    </w:p>
    <w:p w14:paraId="45388AAB" w14:textId="77777777" w:rsidR="0003221C" w:rsidRPr="0003221C" w:rsidRDefault="0003221C" w:rsidP="0003221C">
      <w:pPr>
        <w:pStyle w:val="KeinLeerraum"/>
        <w:rPr>
          <w:rFonts w:ascii="Carlito" w:hAnsi="Carlito" w:cstheme="majorHAnsi"/>
          <w:sz w:val="24"/>
          <w:szCs w:val="24"/>
        </w:rPr>
      </w:pPr>
      <w:r w:rsidRPr="0003221C">
        <w:rPr>
          <w:rFonts w:ascii="Carlito" w:hAnsi="Carlito" w:cstheme="majorHAnsi"/>
          <w:sz w:val="24"/>
          <w:szCs w:val="24"/>
        </w:rPr>
        <w:t xml:space="preserve">Dann kann gefahrlos auch eine Polypektomie durchgeführt werden. </w:t>
      </w:r>
    </w:p>
    <w:p w14:paraId="252C8FAD" w14:textId="77777777" w:rsidR="0003221C" w:rsidRPr="0003221C" w:rsidRDefault="0003221C" w:rsidP="0003221C">
      <w:pPr>
        <w:pStyle w:val="KeinLeerraum"/>
        <w:rPr>
          <w:rFonts w:ascii="Carlito" w:hAnsi="Carlito" w:cstheme="majorHAnsi"/>
          <w:sz w:val="24"/>
          <w:szCs w:val="24"/>
        </w:rPr>
      </w:pPr>
    </w:p>
    <w:p w14:paraId="39909340" w14:textId="77777777" w:rsidR="0003221C" w:rsidRPr="0003221C" w:rsidRDefault="0003221C" w:rsidP="0003221C">
      <w:pPr>
        <w:pStyle w:val="KeinLeerraum"/>
        <w:rPr>
          <w:rFonts w:ascii="Carlito" w:hAnsi="Carlito" w:cstheme="majorHAnsi"/>
          <w:b/>
          <w:sz w:val="24"/>
          <w:szCs w:val="24"/>
        </w:rPr>
      </w:pPr>
      <w:proofErr w:type="spellStart"/>
      <w:r w:rsidRPr="0003221C">
        <w:rPr>
          <w:rFonts w:ascii="Carlito" w:hAnsi="Carlito" w:cstheme="majorHAnsi"/>
          <w:b/>
          <w:sz w:val="24"/>
          <w:szCs w:val="24"/>
        </w:rPr>
        <w:t>Plavix</w:t>
      </w:r>
      <w:proofErr w:type="spellEnd"/>
      <w:r w:rsidRPr="0003221C">
        <w:rPr>
          <w:rFonts w:ascii="Carlito" w:hAnsi="Carlito" w:cstheme="majorHAnsi"/>
          <w:b/>
          <w:sz w:val="24"/>
          <w:szCs w:val="24"/>
        </w:rPr>
        <w:t xml:space="preserve">/Clopidogrel </w:t>
      </w:r>
      <w:r w:rsidRPr="0003221C">
        <w:rPr>
          <w:rFonts w:ascii="Carlito" w:hAnsi="Carlito" w:cstheme="majorHAnsi"/>
          <w:b/>
          <w:sz w:val="24"/>
          <w:szCs w:val="24"/>
          <w:u w:val="single"/>
        </w:rPr>
        <w:t>und</w:t>
      </w:r>
      <w:r w:rsidRPr="0003221C">
        <w:rPr>
          <w:rFonts w:ascii="Carlito" w:hAnsi="Carlito" w:cstheme="majorHAnsi"/>
          <w:b/>
          <w:sz w:val="24"/>
          <w:szCs w:val="24"/>
        </w:rPr>
        <w:t xml:space="preserve"> Aspirin (doppelte Thrombozytenaggregationshemmung)</w:t>
      </w:r>
    </w:p>
    <w:p w14:paraId="7A6DC8F3" w14:textId="77777777" w:rsidR="0003221C" w:rsidRPr="0003221C" w:rsidRDefault="0003221C" w:rsidP="0003221C">
      <w:pPr>
        <w:pStyle w:val="KeinLeerraum"/>
        <w:rPr>
          <w:rFonts w:ascii="Carlito" w:hAnsi="Carlito" w:cstheme="majorHAnsi"/>
          <w:sz w:val="24"/>
          <w:szCs w:val="24"/>
        </w:rPr>
      </w:pPr>
      <w:r w:rsidRPr="0003221C">
        <w:rPr>
          <w:rFonts w:ascii="Carlito" w:hAnsi="Carlito" w:cstheme="majorHAnsi"/>
          <w:sz w:val="24"/>
          <w:szCs w:val="24"/>
        </w:rPr>
        <w:t xml:space="preserve">Unter Therapie mit zwei Thrombozytenaggregationshemmern muss das Vorgehen je nach Situation individuell besprochen werden. In der Regel können kleinere Polypen problemlos abgetragen werden. Bei grösseren Polypen und vor allem flachen Polypen sollte zumindest eines der </w:t>
      </w:r>
      <w:proofErr w:type="spellStart"/>
      <w:r w:rsidRPr="0003221C">
        <w:rPr>
          <w:rFonts w:ascii="Carlito" w:hAnsi="Carlito" w:cstheme="majorHAnsi"/>
          <w:sz w:val="24"/>
          <w:szCs w:val="24"/>
        </w:rPr>
        <w:t>plättchenaggregationshemmenden</w:t>
      </w:r>
      <w:proofErr w:type="spellEnd"/>
      <w:r w:rsidRPr="0003221C">
        <w:rPr>
          <w:rFonts w:ascii="Carlito" w:hAnsi="Carlito" w:cstheme="majorHAnsi"/>
          <w:sz w:val="24"/>
          <w:szCs w:val="24"/>
        </w:rPr>
        <w:t xml:space="preserve"> Medikamente (falls möglich Clopidogrel) abgesetzt werden. </w:t>
      </w:r>
    </w:p>
    <w:p w14:paraId="7793D9A1" w14:textId="77777777" w:rsidR="005A75CC" w:rsidRPr="0003221C" w:rsidRDefault="005A75CC" w:rsidP="005A75CC">
      <w:pPr>
        <w:rPr>
          <w:rFonts w:ascii="Carlito" w:hAnsi="Carlito" w:cstheme="majorHAnsi"/>
          <w:sz w:val="22"/>
          <w:szCs w:val="22"/>
          <w:lang w:val="de-CH"/>
        </w:rPr>
      </w:pPr>
    </w:p>
    <w:sectPr w:rsidR="005A75CC" w:rsidRPr="0003221C" w:rsidSect="000C3BE1">
      <w:headerReference w:type="default" r:id="rId11"/>
      <w:footerReference w:type="default" r:id="rId12"/>
      <w:pgSz w:w="11906" w:h="16838"/>
      <w:pgMar w:top="1418" w:right="907" w:bottom="1134" w:left="964"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FDDF" w14:textId="77777777" w:rsidR="00C417F9" w:rsidRDefault="00C417F9" w:rsidP="0045468C">
      <w:r>
        <w:separator/>
      </w:r>
    </w:p>
  </w:endnote>
  <w:endnote w:type="continuationSeparator" w:id="0">
    <w:p w14:paraId="36D0C26B" w14:textId="77777777" w:rsidR="00C417F9" w:rsidRDefault="00C417F9" w:rsidP="0045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C8F5" w14:textId="0AD2642A" w:rsidR="00692080" w:rsidRDefault="00692080" w:rsidP="00692080">
    <w:pPr>
      <w:pStyle w:val="Fuzeile"/>
      <w:tabs>
        <w:tab w:val="clear" w:pos="4536"/>
        <w:tab w:val="clear" w:pos="9072"/>
        <w:tab w:val="left" w:pos="6521"/>
        <w:tab w:val="left" w:pos="8052"/>
        <w:tab w:val="right" w:pos="9214"/>
      </w:tabs>
      <w:rPr>
        <w:rFonts w:asciiTheme="minorHAnsi" w:hAnsiTheme="minorHAnsi" w:cstheme="minorHAnsi"/>
        <w:sz w:val="18"/>
        <w:szCs w:val="18"/>
      </w:rPr>
    </w:pPr>
    <w:r>
      <w:rPr>
        <w:rFonts w:asciiTheme="minorHAnsi" w:hAnsiTheme="minorHAnsi" w:cstheme="minorHAnsi"/>
        <w:sz w:val="18"/>
        <w:szCs w:val="18"/>
      </w:rPr>
      <w:t>Glutz-Blotzheim-</w:t>
    </w:r>
    <w:proofErr w:type="spellStart"/>
    <w:r>
      <w:rPr>
        <w:rFonts w:asciiTheme="minorHAnsi" w:hAnsiTheme="minorHAnsi" w:cstheme="minorHAnsi"/>
        <w:sz w:val="18"/>
        <w:szCs w:val="18"/>
      </w:rPr>
      <w:t>Strasse</w:t>
    </w:r>
    <w:proofErr w:type="spellEnd"/>
    <w:r>
      <w:rPr>
        <w:rFonts w:asciiTheme="minorHAnsi" w:hAnsiTheme="minorHAnsi" w:cstheme="minorHAnsi"/>
        <w:sz w:val="18"/>
        <w:szCs w:val="18"/>
      </w:rPr>
      <w:t xml:space="preserve"> 3</w:t>
    </w:r>
    <w:r>
      <w:rPr>
        <w:rFonts w:asciiTheme="minorHAnsi" w:hAnsiTheme="minorHAnsi" w:cstheme="minorHAnsi"/>
        <w:sz w:val="18"/>
        <w:szCs w:val="18"/>
      </w:rPr>
      <w:tab/>
      <w:t>Storchengasse 6</w:t>
    </w:r>
    <w:r>
      <w:rPr>
        <w:rFonts w:asciiTheme="minorHAnsi" w:hAnsiTheme="minorHAnsi" w:cstheme="minorHAnsi"/>
        <w:sz w:val="18"/>
        <w:szCs w:val="18"/>
      </w:rPr>
      <w:tab/>
    </w:r>
  </w:p>
  <w:p w14:paraId="51544A86" w14:textId="77777777" w:rsidR="00692080" w:rsidRDefault="00692080" w:rsidP="00692080">
    <w:pPr>
      <w:pStyle w:val="Fuzeile"/>
      <w:tabs>
        <w:tab w:val="clear" w:pos="4536"/>
        <w:tab w:val="left" w:pos="6521"/>
        <w:tab w:val="left" w:pos="8052"/>
      </w:tabs>
      <w:ind w:right="-171"/>
      <w:rPr>
        <w:rFonts w:asciiTheme="minorHAnsi" w:hAnsiTheme="minorHAnsi" w:cstheme="minorHAnsi"/>
        <w:sz w:val="18"/>
        <w:szCs w:val="18"/>
      </w:rPr>
    </w:pPr>
    <w:r>
      <w:rPr>
        <w:rFonts w:asciiTheme="minorHAnsi" w:hAnsiTheme="minorHAnsi" w:cstheme="minorHAnsi"/>
        <w:sz w:val="18"/>
        <w:szCs w:val="18"/>
      </w:rPr>
      <w:t>4500 Solothurn</w:t>
    </w:r>
    <w:r>
      <w:rPr>
        <w:rFonts w:asciiTheme="minorHAnsi" w:hAnsiTheme="minorHAnsi" w:cstheme="minorHAnsi"/>
        <w:sz w:val="18"/>
        <w:szCs w:val="18"/>
      </w:rPr>
      <w:tab/>
      <w:t>2540 Grenchen</w:t>
    </w:r>
    <w:r>
      <w:rPr>
        <w:rFonts w:asciiTheme="minorHAnsi" w:hAnsiTheme="minorHAnsi" w:cstheme="minorHAnsi"/>
        <w:sz w:val="18"/>
        <w:szCs w:val="18"/>
      </w:rPr>
      <w:br/>
      <w:t>Tel. 032 621 51 11</w:t>
    </w:r>
    <w:r>
      <w:rPr>
        <w:rFonts w:asciiTheme="minorHAnsi" w:hAnsiTheme="minorHAnsi" w:cstheme="minorHAnsi"/>
        <w:sz w:val="18"/>
        <w:szCs w:val="18"/>
      </w:rPr>
      <w:tab/>
      <w:t>Tel. 032 654 14 44</w:t>
    </w:r>
  </w:p>
  <w:p w14:paraId="3BC8826D" w14:textId="44595C66" w:rsidR="00191028" w:rsidRPr="00254C2D" w:rsidRDefault="00000000" w:rsidP="00FC4282">
    <w:pPr>
      <w:pStyle w:val="Fuzeile"/>
      <w:tabs>
        <w:tab w:val="clear" w:pos="4536"/>
        <w:tab w:val="left" w:pos="6521"/>
        <w:tab w:val="left" w:pos="8052"/>
      </w:tabs>
      <w:ind w:right="-171"/>
      <w:rPr>
        <w:rFonts w:asciiTheme="minorHAnsi" w:hAnsiTheme="minorHAnsi" w:cstheme="minorHAnsi"/>
        <w:sz w:val="18"/>
        <w:szCs w:val="18"/>
      </w:rPr>
    </w:pPr>
    <w:hyperlink r:id="rId1" w:history="1">
      <w:r w:rsidR="00692080" w:rsidRPr="00692080">
        <w:rPr>
          <w:rStyle w:val="Hyperlink"/>
          <w:rFonts w:asciiTheme="minorHAnsi" w:hAnsiTheme="minorHAnsi" w:cstheme="minorHAnsi"/>
          <w:color w:val="auto"/>
          <w:sz w:val="18"/>
          <w:szCs w:val="18"/>
          <w:u w:val="none"/>
        </w:rPr>
        <w:t>gastrozentrum-obach@hin.ch</w:t>
      </w:r>
    </w:hyperlink>
    <w:r w:rsidR="00692080">
      <w:rPr>
        <w:rFonts w:asciiTheme="minorHAnsi" w:hAnsiTheme="minorHAnsi" w:cstheme="minorHAnsi"/>
        <w:sz w:val="18"/>
        <w:szCs w:val="18"/>
      </w:rPr>
      <w:tab/>
      <w:t>gzo-grenchen@hin.ch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4B18" w14:textId="77777777" w:rsidR="00C417F9" w:rsidRDefault="00C417F9" w:rsidP="0045468C">
      <w:r>
        <w:separator/>
      </w:r>
    </w:p>
  </w:footnote>
  <w:footnote w:type="continuationSeparator" w:id="0">
    <w:p w14:paraId="0F949E67" w14:textId="77777777" w:rsidR="00C417F9" w:rsidRDefault="00C417F9" w:rsidP="0045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3D17" w14:textId="32B5A2E5" w:rsidR="003D0F00" w:rsidRDefault="003D0F00" w:rsidP="003D0F00">
    <w:pPr>
      <w:rPr>
        <w:rFonts w:asciiTheme="minorHAnsi" w:hAnsiTheme="minorHAnsi" w:cstheme="minorHAnsi"/>
        <w:spacing w:val="2"/>
        <w:sz w:val="18"/>
        <w:szCs w:val="18"/>
        <w:lang w:val="en-US"/>
      </w:rPr>
    </w:pPr>
    <w:r>
      <w:rPr>
        <w:noProof/>
      </w:rPr>
      <w:drawing>
        <wp:anchor distT="0" distB="0" distL="114300" distR="114300" simplePos="0" relativeHeight="251659264" behindDoc="1" locked="0" layoutInCell="1" allowOverlap="1" wp14:anchorId="5F015AA7" wp14:editId="01A1AEA5">
          <wp:simplePos x="0" y="0"/>
          <wp:positionH relativeFrom="column">
            <wp:posOffset>2804160</wp:posOffset>
          </wp:positionH>
          <wp:positionV relativeFrom="paragraph">
            <wp:posOffset>9525</wp:posOffset>
          </wp:positionV>
          <wp:extent cx="1828800" cy="419100"/>
          <wp:effectExtent l="0" t="0" r="0" b="0"/>
          <wp:wrapNone/>
          <wp:docPr id="1886003677"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1FFB400" wp14:editId="37C77705">
          <wp:simplePos x="0" y="0"/>
          <wp:positionH relativeFrom="margin">
            <wp:posOffset>4846320</wp:posOffset>
          </wp:positionH>
          <wp:positionV relativeFrom="paragraph">
            <wp:posOffset>10160</wp:posOffset>
          </wp:positionV>
          <wp:extent cx="1303655" cy="694690"/>
          <wp:effectExtent l="0" t="0" r="0" b="0"/>
          <wp:wrapNone/>
          <wp:docPr id="777005910"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655" cy="69469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pacing w:val="2"/>
        <w:sz w:val="18"/>
        <w:szCs w:val="18"/>
        <w:lang w:val="en-US"/>
      </w:rPr>
      <w:t>Dr. med. Marcello Orlandi</w:t>
    </w:r>
  </w:p>
  <w:p w14:paraId="4C997412" w14:textId="77777777" w:rsidR="003D0F00" w:rsidRDefault="003D0F00" w:rsidP="003D0F00">
    <w:pPr>
      <w:rPr>
        <w:rFonts w:asciiTheme="minorHAnsi" w:hAnsiTheme="minorHAnsi" w:cstheme="minorHAnsi"/>
        <w:spacing w:val="2"/>
        <w:sz w:val="18"/>
        <w:szCs w:val="18"/>
      </w:rPr>
    </w:pPr>
    <w:r>
      <w:rPr>
        <w:rFonts w:asciiTheme="minorHAnsi" w:hAnsiTheme="minorHAnsi" w:cstheme="minorHAnsi"/>
        <w:spacing w:val="2"/>
        <w:sz w:val="18"/>
        <w:szCs w:val="18"/>
        <w:lang w:val="en-US"/>
      </w:rPr>
      <w:t xml:space="preserve">Dr. med. </w:t>
    </w:r>
    <w:r>
      <w:rPr>
        <w:rFonts w:asciiTheme="minorHAnsi" w:hAnsiTheme="minorHAnsi" w:cstheme="minorHAnsi"/>
        <w:spacing w:val="2"/>
        <w:sz w:val="18"/>
        <w:szCs w:val="18"/>
        <w:lang w:val="de-CH"/>
      </w:rPr>
      <w:t>Sabine Beeler</w:t>
    </w:r>
  </w:p>
  <w:p w14:paraId="3606B2C7" w14:textId="77777777" w:rsidR="003D0F00" w:rsidRDefault="003D0F00" w:rsidP="003D0F00">
    <w:pPr>
      <w:rPr>
        <w:rFonts w:asciiTheme="minorHAnsi" w:hAnsiTheme="minorHAnsi" w:cstheme="minorHAnsi"/>
        <w:spacing w:val="2"/>
        <w:sz w:val="18"/>
        <w:szCs w:val="18"/>
        <w:lang w:val="de-CH"/>
      </w:rPr>
    </w:pPr>
    <w:r>
      <w:rPr>
        <w:rFonts w:asciiTheme="minorHAnsi" w:hAnsiTheme="minorHAnsi" w:cstheme="minorHAnsi"/>
        <w:spacing w:val="2"/>
        <w:sz w:val="18"/>
        <w:szCs w:val="18"/>
        <w:lang w:val="de-CH"/>
      </w:rPr>
      <w:t>Dr. med. Ana Maria Kunz</w:t>
    </w:r>
    <w:r>
      <w:rPr>
        <w:rFonts w:asciiTheme="minorHAnsi" w:hAnsiTheme="minorHAnsi" w:cstheme="minorHAnsi"/>
        <w:spacing w:val="2"/>
        <w:sz w:val="18"/>
        <w:szCs w:val="18"/>
        <w:lang w:val="de-CH"/>
      </w:rPr>
      <w:br/>
      <w:t>Prof. Dr. med. Felix Stickel</w:t>
    </w:r>
  </w:p>
  <w:p w14:paraId="3A0546C6" w14:textId="77777777" w:rsidR="003D0F00" w:rsidRDefault="003D0F00" w:rsidP="003D0F00">
    <w:pPr>
      <w:rPr>
        <w:rFonts w:asciiTheme="minorHAnsi" w:hAnsiTheme="minorHAnsi" w:cstheme="minorHAnsi"/>
        <w:spacing w:val="2"/>
        <w:sz w:val="18"/>
        <w:szCs w:val="18"/>
      </w:rPr>
    </w:pPr>
    <w:r>
      <w:rPr>
        <w:rFonts w:asciiTheme="minorHAnsi" w:hAnsiTheme="minorHAnsi" w:cstheme="minorHAnsi"/>
        <w:spacing w:val="2"/>
        <w:sz w:val="18"/>
        <w:szCs w:val="18"/>
        <w:lang w:val="de-CH"/>
      </w:rPr>
      <w:t xml:space="preserve">Dr. med. Matyas </w:t>
    </w:r>
    <w:proofErr w:type="spellStart"/>
    <w:r>
      <w:rPr>
        <w:rFonts w:asciiTheme="minorHAnsi" w:hAnsiTheme="minorHAnsi" w:cstheme="minorHAnsi"/>
        <w:spacing w:val="2"/>
        <w:sz w:val="18"/>
        <w:szCs w:val="18"/>
        <w:lang w:val="de-CH"/>
      </w:rPr>
      <w:t>Czepan</w:t>
    </w:r>
    <w:proofErr w:type="spellEnd"/>
  </w:p>
  <w:p w14:paraId="7778E288" w14:textId="77777777" w:rsidR="003D0F00" w:rsidRDefault="003D0F00" w:rsidP="003D0F00">
    <w:pPr>
      <w:rPr>
        <w:rFonts w:asciiTheme="minorHAnsi" w:hAnsiTheme="minorHAnsi" w:cstheme="minorHAnsi"/>
        <w:spacing w:val="2"/>
        <w:sz w:val="18"/>
        <w:szCs w:val="18"/>
        <w:lang w:val="de-CH"/>
      </w:rPr>
    </w:pPr>
  </w:p>
  <w:p w14:paraId="73977BFB" w14:textId="77777777" w:rsidR="003D0F00" w:rsidRDefault="003D0F00" w:rsidP="003D0F00">
    <w:pPr>
      <w:rPr>
        <w:rFonts w:asciiTheme="minorHAnsi" w:hAnsiTheme="minorHAnsi" w:cstheme="minorHAnsi"/>
        <w:sz w:val="18"/>
        <w:szCs w:val="18"/>
        <w:lang w:val="de-CH"/>
      </w:rPr>
    </w:pPr>
    <w:r>
      <w:rPr>
        <w:rFonts w:asciiTheme="minorHAnsi" w:hAnsiTheme="minorHAnsi" w:cstheme="minorHAnsi"/>
        <w:spacing w:val="2"/>
        <w:sz w:val="18"/>
        <w:szCs w:val="18"/>
        <w:lang w:val="de-CH"/>
      </w:rPr>
      <w:t>Fachärzte FMH für Gastroenterologie und Hepatologie</w:t>
    </w:r>
  </w:p>
  <w:p w14:paraId="474DCCE4" w14:textId="7D36F272" w:rsidR="000D6D30" w:rsidRPr="003D0F00" w:rsidRDefault="00000000">
    <w:pPr>
      <w:pStyle w:val="Kopfzeile"/>
      <w:rPr>
        <w:rFonts w:asciiTheme="minorHAnsi" w:hAnsiTheme="minorHAnsi" w:cstheme="minorHAnsi"/>
        <w:sz w:val="18"/>
        <w:szCs w:val="18"/>
        <w:lang w:val="en-US"/>
      </w:rPr>
    </w:pPr>
    <w:hyperlink r:id="rId3" w:history="1">
      <w:r w:rsidR="003D0F00" w:rsidRPr="003D0F00">
        <w:rPr>
          <w:rStyle w:val="Hyperlink"/>
          <w:rFonts w:asciiTheme="minorHAnsi" w:hAnsiTheme="minorHAnsi" w:cstheme="minorHAnsi"/>
          <w:color w:val="auto"/>
          <w:sz w:val="18"/>
          <w:szCs w:val="18"/>
          <w:u w:val="none"/>
          <w:lang w:val="en-US"/>
        </w:rPr>
        <w:t>www.gastrozentrum-obach.ch</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12B1F"/>
    <w:multiLevelType w:val="hybridMultilevel"/>
    <w:tmpl w:val="00F4E6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6801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de-CH" w:vendorID="64" w:dllVersion="6" w:nlCheck="1" w:checkStyle="1"/>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EE55AFB-B65C-48E6-8B80-770E7297B008}"/>
    <w:docVar w:name="dgnword-eventsink" w:val="3074291726352"/>
  </w:docVars>
  <w:rsids>
    <w:rsidRoot w:val="00A25267"/>
    <w:rsid w:val="0003221C"/>
    <w:rsid w:val="00034156"/>
    <w:rsid w:val="000501E0"/>
    <w:rsid w:val="00057F0F"/>
    <w:rsid w:val="00070C4E"/>
    <w:rsid w:val="00083968"/>
    <w:rsid w:val="00096E49"/>
    <w:rsid w:val="000971DD"/>
    <w:rsid w:val="000A596B"/>
    <w:rsid w:val="000C3BE1"/>
    <w:rsid w:val="000C5055"/>
    <w:rsid w:val="000D6D30"/>
    <w:rsid w:val="000E0E64"/>
    <w:rsid w:val="000E51E6"/>
    <w:rsid w:val="000F2035"/>
    <w:rsid w:val="00101495"/>
    <w:rsid w:val="00112C93"/>
    <w:rsid w:val="001208DE"/>
    <w:rsid w:val="0012749C"/>
    <w:rsid w:val="0014382F"/>
    <w:rsid w:val="00171F8F"/>
    <w:rsid w:val="00173143"/>
    <w:rsid w:val="001879D9"/>
    <w:rsid w:val="00191028"/>
    <w:rsid w:val="001D3770"/>
    <w:rsid w:val="001F36D8"/>
    <w:rsid w:val="001F4528"/>
    <w:rsid w:val="00230484"/>
    <w:rsid w:val="0023171B"/>
    <w:rsid w:val="002352CB"/>
    <w:rsid w:val="00244A37"/>
    <w:rsid w:val="00246550"/>
    <w:rsid w:val="00254C2D"/>
    <w:rsid w:val="0026064E"/>
    <w:rsid w:val="00274F4B"/>
    <w:rsid w:val="002B3405"/>
    <w:rsid w:val="002D31ED"/>
    <w:rsid w:val="002D4BC7"/>
    <w:rsid w:val="002F3683"/>
    <w:rsid w:val="00310E11"/>
    <w:rsid w:val="00315BB9"/>
    <w:rsid w:val="00332B83"/>
    <w:rsid w:val="003503FF"/>
    <w:rsid w:val="00373613"/>
    <w:rsid w:val="00382A63"/>
    <w:rsid w:val="00390D23"/>
    <w:rsid w:val="003A63BB"/>
    <w:rsid w:val="003D0F00"/>
    <w:rsid w:val="003D3526"/>
    <w:rsid w:val="003F4F01"/>
    <w:rsid w:val="003F5621"/>
    <w:rsid w:val="0045468C"/>
    <w:rsid w:val="004810FE"/>
    <w:rsid w:val="004A38B3"/>
    <w:rsid w:val="004B554C"/>
    <w:rsid w:val="004C4CD7"/>
    <w:rsid w:val="004E03FD"/>
    <w:rsid w:val="004E3148"/>
    <w:rsid w:val="004E44DC"/>
    <w:rsid w:val="004F4CBC"/>
    <w:rsid w:val="00511BBE"/>
    <w:rsid w:val="0051237F"/>
    <w:rsid w:val="00554DC9"/>
    <w:rsid w:val="00564AA1"/>
    <w:rsid w:val="00593B41"/>
    <w:rsid w:val="005A75CC"/>
    <w:rsid w:val="00605F2C"/>
    <w:rsid w:val="00625D5D"/>
    <w:rsid w:val="00656ABA"/>
    <w:rsid w:val="00692080"/>
    <w:rsid w:val="00692962"/>
    <w:rsid w:val="006C447B"/>
    <w:rsid w:val="00702FDF"/>
    <w:rsid w:val="0071343A"/>
    <w:rsid w:val="00727C1B"/>
    <w:rsid w:val="007338FA"/>
    <w:rsid w:val="00755A9E"/>
    <w:rsid w:val="007618AC"/>
    <w:rsid w:val="00767A2A"/>
    <w:rsid w:val="00767D53"/>
    <w:rsid w:val="00780344"/>
    <w:rsid w:val="007A0B57"/>
    <w:rsid w:val="007A4446"/>
    <w:rsid w:val="007F0F1C"/>
    <w:rsid w:val="007F6D81"/>
    <w:rsid w:val="00805124"/>
    <w:rsid w:val="008116F3"/>
    <w:rsid w:val="00827310"/>
    <w:rsid w:val="00836A2E"/>
    <w:rsid w:val="00882D3E"/>
    <w:rsid w:val="00883B19"/>
    <w:rsid w:val="00893ED9"/>
    <w:rsid w:val="00894161"/>
    <w:rsid w:val="008C74E7"/>
    <w:rsid w:val="008F46DD"/>
    <w:rsid w:val="0090024F"/>
    <w:rsid w:val="00915907"/>
    <w:rsid w:val="009174EE"/>
    <w:rsid w:val="009235BC"/>
    <w:rsid w:val="00923F2A"/>
    <w:rsid w:val="00945F1A"/>
    <w:rsid w:val="00957842"/>
    <w:rsid w:val="009A55E8"/>
    <w:rsid w:val="009C5190"/>
    <w:rsid w:val="00A03A00"/>
    <w:rsid w:val="00A05D49"/>
    <w:rsid w:val="00A25267"/>
    <w:rsid w:val="00A41424"/>
    <w:rsid w:val="00A45E79"/>
    <w:rsid w:val="00A6412E"/>
    <w:rsid w:val="00A64F26"/>
    <w:rsid w:val="00A727D0"/>
    <w:rsid w:val="00A73EF9"/>
    <w:rsid w:val="00A97F5B"/>
    <w:rsid w:val="00AA189C"/>
    <w:rsid w:val="00AA5BC2"/>
    <w:rsid w:val="00AB7282"/>
    <w:rsid w:val="00AD5899"/>
    <w:rsid w:val="00B05601"/>
    <w:rsid w:val="00B366E8"/>
    <w:rsid w:val="00B51511"/>
    <w:rsid w:val="00B647F2"/>
    <w:rsid w:val="00B72720"/>
    <w:rsid w:val="00B8662D"/>
    <w:rsid w:val="00BB5B8B"/>
    <w:rsid w:val="00BC582B"/>
    <w:rsid w:val="00C32CE5"/>
    <w:rsid w:val="00C33D0B"/>
    <w:rsid w:val="00C417F9"/>
    <w:rsid w:val="00C63724"/>
    <w:rsid w:val="00C761B1"/>
    <w:rsid w:val="00C9318D"/>
    <w:rsid w:val="00CB1326"/>
    <w:rsid w:val="00CB2BC4"/>
    <w:rsid w:val="00CB51B0"/>
    <w:rsid w:val="00D01C23"/>
    <w:rsid w:val="00D45504"/>
    <w:rsid w:val="00D66B1C"/>
    <w:rsid w:val="00D764C0"/>
    <w:rsid w:val="00D85C68"/>
    <w:rsid w:val="00D96D60"/>
    <w:rsid w:val="00DA4935"/>
    <w:rsid w:val="00DB0016"/>
    <w:rsid w:val="00DD1E90"/>
    <w:rsid w:val="00DE03BF"/>
    <w:rsid w:val="00DE46BC"/>
    <w:rsid w:val="00E120F9"/>
    <w:rsid w:val="00E41915"/>
    <w:rsid w:val="00E425BC"/>
    <w:rsid w:val="00E4436A"/>
    <w:rsid w:val="00E5162D"/>
    <w:rsid w:val="00EB45D2"/>
    <w:rsid w:val="00EE458F"/>
    <w:rsid w:val="00EF1302"/>
    <w:rsid w:val="00F17E89"/>
    <w:rsid w:val="00F20E02"/>
    <w:rsid w:val="00F321DD"/>
    <w:rsid w:val="00F52341"/>
    <w:rsid w:val="00F617EF"/>
    <w:rsid w:val="00FA0479"/>
    <w:rsid w:val="00FC4282"/>
    <w:rsid w:val="00FD32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20008"/>
  <w15:docId w15:val="{1C3E90B6-16E8-4BD4-A6FE-B378C7DE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4DC9"/>
    <w:pPr>
      <w:widowControl w:val="0"/>
      <w:spacing w:after="0" w:line="240" w:lineRule="auto"/>
    </w:pPr>
    <w:rPr>
      <w:rFonts w:ascii="Times New Roman" w:eastAsia="Times New Roman" w:hAnsi="Times New Roman" w:cs="Times New Roman"/>
      <w:sz w:val="20"/>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0F1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0F1C"/>
    <w:rPr>
      <w:rFonts w:ascii="Segoe UI" w:eastAsia="Times New Roman" w:hAnsi="Segoe UI" w:cs="Segoe UI"/>
      <w:sz w:val="18"/>
      <w:szCs w:val="18"/>
      <w:lang w:val="de-DE" w:eastAsia="de-CH"/>
    </w:rPr>
  </w:style>
  <w:style w:type="paragraph" w:styleId="Kopfzeile">
    <w:name w:val="header"/>
    <w:basedOn w:val="Standard"/>
    <w:link w:val="KopfzeileZchn"/>
    <w:uiPriority w:val="99"/>
    <w:unhideWhenUsed/>
    <w:rsid w:val="0045468C"/>
    <w:pPr>
      <w:tabs>
        <w:tab w:val="center" w:pos="4536"/>
        <w:tab w:val="right" w:pos="9072"/>
      </w:tabs>
    </w:pPr>
  </w:style>
  <w:style w:type="character" w:customStyle="1" w:styleId="KopfzeileZchn">
    <w:name w:val="Kopfzeile Zchn"/>
    <w:basedOn w:val="Absatz-Standardschriftart"/>
    <w:link w:val="Kopfzeile"/>
    <w:uiPriority w:val="99"/>
    <w:rsid w:val="0045468C"/>
    <w:rPr>
      <w:rFonts w:ascii="Times New Roman" w:eastAsia="Times New Roman" w:hAnsi="Times New Roman" w:cs="Times New Roman"/>
      <w:sz w:val="20"/>
      <w:szCs w:val="20"/>
      <w:lang w:val="de-DE" w:eastAsia="de-CH"/>
    </w:rPr>
  </w:style>
  <w:style w:type="paragraph" w:styleId="Fuzeile">
    <w:name w:val="footer"/>
    <w:basedOn w:val="Standard"/>
    <w:link w:val="FuzeileZchn"/>
    <w:uiPriority w:val="99"/>
    <w:unhideWhenUsed/>
    <w:rsid w:val="0045468C"/>
    <w:pPr>
      <w:tabs>
        <w:tab w:val="center" w:pos="4536"/>
        <w:tab w:val="right" w:pos="9072"/>
      </w:tabs>
    </w:pPr>
  </w:style>
  <w:style w:type="character" w:customStyle="1" w:styleId="FuzeileZchn">
    <w:name w:val="Fußzeile Zchn"/>
    <w:basedOn w:val="Absatz-Standardschriftart"/>
    <w:link w:val="Fuzeile"/>
    <w:uiPriority w:val="99"/>
    <w:rsid w:val="0045468C"/>
    <w:rPr>
      <w:rFonts w:ascii="Times New Roman" w:eastAsia="Times New Roman" w:hAnsi="Times New Roman" w:cs="Times New Roman"/>
      <w:sz w:val="20"/>
      <w:szCs w:val="20"/>
      <w:lang w:val="de-DE" w:eastAsia="de-CH"/>
    </w:rPr>
  </w:style>
  <w:style w:type="character" w:styleId="Hyperlink">
    <w:name w:val="Hyperlink"/>
    <w:basedOn w:val="Absatz-Standardschriftart"/>
    <w:uiPriority w:val="99"/>
    <w:unhideWhenUsed/>
    <w:rsid w:val="000D6D30"/>
    <w:rPr>
      <w:color w:val="0563C1" w:themeColor="hyperlink"/>
      <w:u w:val="single"/>
    </w:rPr>
  </w:style>
  <w:style w:type="table" w:styleId="Tabellenraster">
    <w:name w:val="Table Grid"/>
    <w:basedOn w:val="NormaleTabelle"/>
    <w:uiPriority w:val="59"/>
    <w:rsid w:val="005A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0C4E"/>
    <w:pPr>
      <w:ind w:left="720"/>
      <w:contextualSpacing/>
    </w:pPr>
  </w:style>
  <w:style w:type="character" w:customStyle="1" w:styleId="NichtaufgelsteErwhnung1">
    <w:name w:val="Nicht aufgelöste Erwähnung1"/>
    <w:basedOn w:val="Absatz-Standardschriftart"/>
    <w:uiPriority w:val="99"/>
    <w:semiHidden/>
    <w:unhideWhenUsed/>
    <w:rsid w:val="00767A2A"/>
    <w:rPr>
      <w:color w:val="605E5C"/>
      <w:shd w:val="clear" w:color="auto" w:fill="E1DFDD"/>
    </w:rPr>
  </w:style>
  <w:style w:type="paragraph" w:styleId="KeinLeerraum">
    <w:name w:val="No Spacing"/>
    <w:uiPriority w:val="1"/>
    <w:qFormat/>
    <w:rsid w:val="00032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99654">
      <w:bodyDiv w:val="1"/>
      <w:marLeft w:val="0"/>
      <w:marRight w:val="0"/>
      <w:marTop w:val="0"/>
      <w:marBottom w:val="0"/>
      <w:divBdr>
        <w:top w:val="none" w:sz="0" w:space="0" w:color="auto"/>
        <w:left w:val="none" w:sz="0" w:space="0" w:color="auto"/>
        <w:bottom w:val="none" w:sz="0" w:space="0" w:color="auto"/>
        <w:right w:val="none" w:sz="0" w:space="0" w:color="auto"/>
      </w:divBdr>
    </w:div>
    <w:div w:id="640843699">
      <w:bodyDiv w:val="1"/>
      <w:marLeft w:val="0"/>
      <w:marRight w:val="0"/>
      <w:marTop w:val="0"/>
      <w:marBottom w:val="0"/>
      <w:divBdr>
        <w:top w:val="none" w:sz="0" w:space="0" w:color="auto"/>
        <w:left w:val="none" w:sz="0" w:space="0" w:color="auto"/>
        <w:bottom w:val="none" w:sz="0" w:space="0" w:color="auto"/>
        <w:right w:val="none" w:sz="0" w:space="0" w:color="auto"/>
      </w:divBdr>
    </w:div>
    <w:div w:id="953561325">
      <w:bodyDiv w:val="1"/>
      <w:marLeft w:val="0"/>
      <w:marRight w:val="0"/>
      <w:marTop w:val="0"/>
      <w:marBottom w:val="0"/>
      <w:divBdr>
        <w:top w:val="none" w:sz="0" w:space="0" w:color="auto"/>
        <w:left w:val="none" w:sz="0" w:space="0" w:color="auto"/>
        <w:bottom w:val="none" w:sz="0" w:space="0" w:color="auto"/>
        <w:right w:val="none" w:sz="0" w:space="0" w:color="auto"/>
      </w:divBdr>
    </w:div>
    <w:div w:id="1212691423">
      <w:bodyDiv w:val="1"/>
      <w:marLeft w:val="0"/>
      <w:marRight w:val="0"/>
      <w:marTop w:val="0"/>
      <w:marBottom w:val="0"/>
      <w:divBdr>
        <w:top w:val="none" w:sz="0" w:space="0" w:color="auto"/>
        <w:left w:val="none" w:sz="0" w:space="0" w:color="auto"/>
        <w:bottom w:val="none" w:sz="0" w:space="0" w:color="auto"/>
        <w:right w:val="none" w:sz="0" w:space="0" w:color="auto"/>
      </w:divBdr>
    </w:div>
    <w:div w:id="1230994462">
      <w:bodyDiv w:val="1"/>
      <w:marLeft w:val="0"/>
      <w:marRight w:val="0"/>
      <w:marTop w:val="0"/>
      <w:marBottom w:val="0"/>
      <w:divBdr>
        <w:top w:val="none" w:sz="0" w:space="0" w:color="auto"/>
        <w:left w:val="none" w:sz="0" w:space="0" w:color="auto"/>
        <w:bottom w:val="none" w:sz="0" w:space="0" w:color="auto"/>
        <w:right w:val="none" w:sz="0" w:space="0" w:color="auto"/>
      </w:divBdr>
    </w:div>
    <w:div w:id="1630015041">
      <w:bodyDiv w:val="1"/>
      <w:marLeft w:val="0"/>
      <w:marRight w:val="0"/>
      <w:marTop w:val="0"/>
      <w:marBottom w:val="0"/>
      <w:divBdr>
        <w:top w:val="none" w:sz="0" w:space="0" w:color="auto"/>
        <w:left w:val="none" w:sz="0" w:space="0" w:color="auto"/>
        <w:bottom w:val="none" w:sz="0" w:space="0" w:color="auto"/>
        <w:right w:val="none" w:sz="0" w:space="0" w:color="auto"/>
      </w:divBdr>
    </w:div>
    <w:div w:id="21011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zo-grenchen@hin.ch" TargetMode="External"/><Relationship Id="rId4" Type="http://schemas.openxmlformats.org/officeDocument/2006/relationships/styles" Target="styles.xml"/><Relationship Id="rId9" Type="http://schemas.openxmlformats.org/officeDocument/2006/relationships/hyperlink" Target="mailto:gastrozentrum-obach@hin.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astrozentrum-obach@hin.ch"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gastrozentrum-obach.ch"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0bachstrasse 23  4500 Solothurnpraxis.orlandi@hin.chT 032 621 51 11F 032 621 51 12www.gastrozentrum-obach.ch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3FA518-B5DE-4951-BEDB-B2BDD5D7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4500 Solothurn</dc:subject>
  <dc:creator>Marcello Orlandi</dc:creator>
  <cp:keywords/>
  <dc:description/>
  <cp:lastModifiedBy>Office-Installer1</cp:lastModifiedBy>
  <cp:revision>81</cp:revision>
  <cp:lastPrinted>2015-03-26T07:41:00Z</cp:lastPrinted>
  <dcterms:created xsi:type="dcterms:W3CDTF">2021-04-25T20:17:00Z</dcterms:created>
  <dcterms:modified xsi:type="dcterms:W3CDTF">2023-08-09T11:39:00Z</dcterms:modified>
</cp:coreProperties>
</file>